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60"/>
        <w:ind w:left="1458" w:hanging="1458"/>
        <w:rPr/>
      </w:pPr>
      <w:bookmarkStart w:id="0" w:name="_Toc460224468"/>
      <w:r>
        <w:rPr>
          <w:rFonts w:ascii="Times New Roman" w:hAnsi="Times New Roman"/>
          <w:lang w:val="pt-BR"/>
        </w:rPr>
        <w:tab/>
      </w:r>
    </w:p>
    <w:p>
      <w:pPr>
        <w:pStyle w:val="Normal"/>
        <w:ind w:left="1458" w:hanging="1458"/>
        <w:jc w:val="right"/>
        <w:rPr/>
      </w:pPr>
      <w:r>
        <w:rPr>
          <w:rFonts w:cs="Times New Roman"/>
          <w:sz w:val="24"/>
          <w:szCs w:val="24"/>
          <w:lang w:val="pt-BR"/>
        </w:rPr>
        <w:t xml:space="preserve">Anexa 1 la Actul aditional nr. </w:t>
      </w:r>
      <w:r>
        <w:rPr>
          <w:rFonts w:cs="Times New Roman"/>
          <w:sz w:val="24"/>
          <w:szCs w:val="24"/>
          <w:lang w:val="pt-BR"/>
        </w:rPr>
        <w:t>1</w:t>
      </w:r>
      <w:r>
        <w:rPr>
          <w:rFonts w:cs="Times New Roman"/>
          <w:sz w:val="24"/>
          <w:szCs w:val="24"/>
          <w:lang w:val="pt-BR"/>
        </w:rPr>
        <w:t>/___________</w:t>
      </w:r>
    </w:p>
    <w:p>
      <w:pPr>
        <w:pStyle w:val="Heading1"/>
        <w:ind w:left="1458" w:hanging="1458"/>
        <w:rPr>
          <w:rFonts w:ascii="Times New Roman" w:hAnsi="Times New Roman"/>
          <w:lang w:val="ro-RO"/>
        </w:rPr>
      </w:pPr>
      <w:bookmarkStart w:id="1" w:name="_Toc460224468"/>
      <w:r>
        <w:rPr>
          <w:rFonts w:ascii="Times New Roman" w:hAnsi="Times New Roman"/>
          <w:lang w:val="pt-BR"/>
        </w:rPr>
        <w:t>INDICATORII DE PERFORMANTA SI EVALUARE</w:t>
      </w:r>
      <w:bookmarkEnd w:id="1"/>
    </w:p>
    <w:p>
      <w:pPr>
        <w:pStyle w:val="Heading2"/>
        <w:jc w:val="both"/>
        <w:rPr>
          <w:rStyle w:val="IntenseEmphasis"/>
          <w:rFonts w:ascii="Times New Roman" w:hAnsi="Times New Roman"/>
          <w:b/>
          <w:b/>
          <w:bCs/>
          <w:lang w:val="pt-PT"/>
        </w:rPr>
      </w:pPr>
      <w:bookmarkStart w:id="2" w:name="_Toc405463068"/>
      <w:bookmarkStart w:id="3" w:name="_Toc393184275"/>
      <w:bookmarkStart w:id="4" w:name="_Toc393183407"/>
      <w:bookmarkStart w:id="5" w:name="_Toc381893419"/>
      <w:r>
        <w:rPr>
          <w:rStyle w:val="IntenseEmphasis"/>
          <w:rFonts w:ascii="Times New Roman" w:hAnsi="Times New Roman"/>
          <w:lang w:val="pt-PT"/>
        </w:rPr>
        <w:t>Indicatori de performanţă anuali pentru activitatea de operare a staţiilor de transfer, transferul către instalaţiile de sortare, compostare şi operarea acestor instalaţii</w:t>
      </w:r>
      <w:bookmarkEnd w:id="2"/>
      <w:bookmarkEnd w:id="3"/>
      <w:bookmarkEnd w:id="4"/>
      <w:bookmarkEnd w:id="5"/>
    </w:p>
    <w:p>
      <w:pPr>
        <w:pStyle w:val="Normal"/>
        <w:rPr>
          <w:lang w:val="pt-PT"/>
        </w:rPr>
      </w:pPr>
      <w:r>
        <w:rPr>
          <w:lang w:val="pt-PT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32"/>
        <w:gridCol w:w="5019"/>
        <w:gridCol w:w="1613"/>
        <w:gridCol w:w="1561"/>
      </w:tblGrid>
      <w:tr>
        <w:trPr>
          <w:tblHeader w:val="true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b/>
                <w:b/>
              </w:rPr>
            </w:pPr>
            <w:r>
              <w:rPr>
                <w:b/>
              </w:rPr>
              <w:t>Nr. Crt.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b/>
                <w:b/>
              </w:rPr>
            </w:pPr>
            <w:r>
              <w:rPr>
                <w:b/>
              </w:rPr>
              <w:t>Indicatori de performanţă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b/>
                <w:b/>
              </w:rPr>
            </w:pPr>
            <w:r>
              <w:rPr>
                <w:b/>
              </w:rPr>
              <w:t>Unitate măsură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b/>
                <w:b/>
              </w:rPr>
            </w:pPr>
            <w:r>
              <w:rPr>
                <w:b/>
              </w:rPr>
              <w:t>Valoare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>
                <w:b/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>
                <w:b/>
                <w:b/>
              </w:rPr>
            </w:pPr>
            <w:r>
              <w:rPr>
                <w:b/>
              </w:rPr>
              <w:t>INDICATORI DE PERFOMANTA GENERALI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>
                <w:b/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8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>
                <w:b/>
                <w:b/>
                <w:lang w:val="pt-PT"/>
              </w:rPr>
            </w:pPr>
            <w:r>
              <w:rPr>
                <w:b/>
                <w:lang w:val="pt-PT"/>
              </w:rPr>
              <w:t>Măsurarea şi gestiunea cantităţii serviciilor prestate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  <w:t>1.1.1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>
                <w:lang w:val="pt-PT"/>
              </w:rPr>
            </w:pPr>
            <w:r>
              <w:rPr>
                <w:lang w:val="pt-PT"/>
              </w:rPr>
              <w:t>Numărul de sesizări din partea reprezentanţilor Gărzii de mediu raportat la numărul total de sesizări din partea autorităţilor centrale şi locale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/>
            </w:pPr>
            <w:r>
              <w:rPr/>
              <w:t>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  <w:t>1.1.2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>
                <w:lang w:val="pt-PT"/>
              </w:rPr>
            </w:pPr>
            <w:r>
              <w:rPr>
                <w:lang w:val="pt-PT"/>
              </w:rPr>
              <w:t>Numărul anual de sesizări din partea autorităţilor de sănătate publică raportat la numărul total de sesizări din partea autorităţilor centrale şi locale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/>
            </w:pPr>
            <w:r>
              <w:rPr/>
              <w:t>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  <w:t>1.1.3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>
                <w:lang w:val="pt-PT"/>
              </w:rPr>
            </w:pPr>
            <w:r>
              <w:rPr>
                <w:lang w:val="pt-PT"/>
              </w:rPr>
              <w:t>Cantitatea totală de deşeuri transportate spre instalaţiile de tartare si eliminare a deşeurilor raportată la cantitatea totală de deşeuri intrate în staţiile de transfer (excepţie fluxurile de deşeuri speciale)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/>
            </w:pPr>
            <w:r>
              <w:rPr/>
              <w:t>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  <w:t>1.1.4.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>
                <w:lang w:val="pt-PT"/>
              </w:rPr>
            </w:pPr>
            <w:r>
              <w:rPr>
                <w:lang w:val="pt-PT"/>
              </w:rPr>
              <w:t xml:space="preserve">Cantitatea totală de deşeuri trimise la reciclare ca procentaj din cantitatea totală de deşeuri acceptate la staţiile de sortare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/>
            </w:pPr>
            <w:r>
              <w:rPr/>
              <w:t>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/>
              <w:t>75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>
                <w:lang w:val="pt-PT"/>
              </w:rPr>
            </w:pPr>
            <w:r>
              <w:rPr>
                <w:lang w:val="pt-PT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/>
            </w:pPr>
            <w:r>
              <w:rPr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  <w:t>1.1.5.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>
                <w:lang w:val="pt-PT"/>
              </w:rPr>
            </w:pPr>
            <w:r>
              <w:rPr>
                <w:lang w:val="pt-PT"/>
              </w:rPr>
              <w:t>Cantitatea de deșeuri efectiv încredinţată spre reciclare şi alte forme de valorificare (Conform anexa 6 din OUG 196/2005)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lang w:val="pt-PT"/>
              </w:rPr>
            </w:pPr>
            <w:r>
              <w:rPr>
                <w:lang w:val="pt-PT"/>
              </w:rPr>
              <w:t>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lang w:val="pt-PT"/>
              </w:rPr>
            </w:pPr>
            <w:r>
              <w:rPr>
                <w:lang w:val="pt-PT"/>
              </w:rPr>
              <w:t>Anul 2019 42% din care reciclare minim 35 % si alte forme de valorificare 7%</w:t>
            </w:r>
          </w:p>
          <w:p>
            <w:pPr>
              <w:pStyle w:val="Normal"/>
              <w:spacing w:lineRule="exact" w:line="300"/>
              <w:jc w:val="center"/>
              <w:rPr>
                <w:lang w:val="pt-PT"/>
              </w:rPr>
            </w:pPr>
            <w:r>
              <w:rPr>
                <w:lang w:val="pt-PT"/>
              </w:rPr>
              <w:t>Anul 2020 și urm 60 % din care reciclare minim 50 % si alte forme de valorificare 10%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  <w:t>1.1.6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>
                <w:lang w:val="pt-PT"/>
              </w:rPr>
            </w:pPr>
            <w:r>
              <w:rPr>
                <w:lang w:val="pt-PT"/>
              </w:rPr>
              <w:t>Cantitatea totală de compost produs raportată la cantitatea de deseuri biodegradabile acceptata la statia de compostare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/>
            </w:pPr>
            <w:r>
              <w:rPr/>
              <w:t>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/>
              <w:t>&gt;40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  <w:t>1.1.7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>
                <w:lang w:val="pt-PT"/>
              </w:rPr>
            </w:pPr>
            <w:r>
              <w:rPr>
                <w:lang w:val="pt-PT"/>
              </w:rPr>
              <w:t>Cantitatea totală de compost valorificat raportată la cantitatea de compost produsa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/>
            </w:pPr>
            <w:r>
              <w:rPr/>
              <w:t>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/>
              <w:t>&gt;70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  <w:t>1.1.8.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>
                <w:lang w:val="pt-PT"/>
              </w:rPr>
            </w:pPr>
            <w:r>
              <w:rPr>
                <w:lang w:val="pt-PT"/>
              </w:rPr>
              <w:t xml:space="preserve">Penalităţi contractuale totale aplicate de autorităţile administraţiei publice locale, raportate la valoare prestaţiei activităţii de operare a instalaţiilor de gestionare a deşeurilor (staţii de transfer, staţii de sortare, staţii compostare)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/>
            </w:pPr>
            <w:r>
              <w:rPr/>
              <w:t>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  <w:t>1.1.9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>
                <w:lang w:val="pt-PT"/>
              </w:rPr>
            </w:pPr>
            <w:r>
              <w:rPr>
                <w:lang w:val="pt-PT"/>
              </w:rPr>
              <w:t>Numărul de reclamaţii rezolvate privind calitatea operării staţiilor de sortare, raportat la numărul total de reclamaţii privind calitatea operării instalaţiilor de gestionare a deşeurilor (staţii de transfer, staţii de sortare, staţii de compostare)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/>
            </w:pPr>
            <w:r>
              <w:rPr/>
              <w:t>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  <w:t>1.1.10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>
                <w:lang w:val="pt-PT"/>
              </w:rPr>
            </w:pPr>
            <w:r>
              <w:rPr>
                <w:lang w:val="pt-PT"/>
              </w:rPr>
              <w:t>Ponderea din numărul de reclamaţii de la punctul 1.1.9 care s-au dovedit justificate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/>
            </w:pPr>
            <w:r>
              <w:rPr/>
              <w:t>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  <w:t>1.1.11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>
                <w:lang w:val="pt-PT"/>
              </w:rPr>
            </w:pPr>
            <w:r>
              <w:rPr>
                <w:lang w:val="pt-PT"/>
              </w:rPr>
              <w:t>Procentul de reclamaţii de la punctul 1.1.10 care au fost rezolvate in mai puţin de două zile calendaristice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/>
            </w:pPr>
            <w:r>
              <w:rPr/>
              <w:t>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  <w:t>1.1.12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>
                <w:lang w:val="pt-PT"/>
              </w:rPr>
            </w:pPr>
            <w:r>
              <w:rPr>
                <w:lang w:val="pt-PT"/>
              </w:rPr>
              <w:t>Numărul de reclamaţii rezolvate privind calitatea operării staţiilor de compostare, raportat la numărul total de reclamaţii privind calitatea operării instalaţiilor de gestionare a deşeurilor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/>
            </w:pPr>
            <w:r>
              <w:rPr/>
              <w:t>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  <w:t>1.1.13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>
                <w:lang w:val="pt-PT"/>
              </w:rPr>
            </w:pPr>
            <w:r>
              <w:rPr>
                <w:lang w:val="pt-PT"/>
              </w:rPr>
              <w:t>Ponderea din numărul de reclamaţii de la punctul 1.1.12 care s-au dovedit justificate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/>
            </w:pPr>
            <w:r>
              <w:rPr/>
              <w:t>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  <w:t>1.1.14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>
                <w:lang w:val="pt-PT"/>
              </w:rPr>
            </w:pPr>
            <w:r>
              <w:rPr>
                <w:lang w:val="pt-PT"/>
              </w:rPr>
              <w:t>Procentul de reclamaţii de la punctul 1.1.13 care au fost rezolvate în mai puţin de două zile calendaristice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/>
            </w:pPr>
            <w:r>
              <w:rPr/>
              <w:t>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  <w:t>1.1.15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>
                <w:lang w:val="pt-PT"/>
              </w:rPr>
            </w:pPr>
            <w:r>
              <w:rPr>
                <w:lang w:val="pt-PT"/>
              </w:rPr>
              <w:t>Numărul de reclamaţii rezolvate privind calitatea operării staţiilor de transfer, raportat la numărul total de reclamaţii privind calitatea operării instalaţiilor de gestionare a deşeurilor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/>
            </w:pPr>
            <w:r>
              <w:rPr/>
              <w:t>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  <w:t>1.1.16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>
                <w:lang w:val="pt-PT"/>
              </w:rPr>
            </w:pPr>
            <w:r>
              <w:rPr>
                <w:lang w:val="pt-PT"/>
              </w:rPr>
              <w:t>Ponderea din numărul de reclamaţii de la punctul 1.1.15 care s-au dovedit justificate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/>
            </w:pPr>
            <w:r>
              <w:rPr/>
              <w:t>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  <w:t>1.1.17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>
                <w:lang w:val="pt-PT"/>
              </w:rPr>
            </w:pPr>
            <w:r>
              <w:rPr>
                <w:lang w:val="pt-PT"/>
              </w:rPr>
              <w:t>Procentul de reclamaţii de la punctul 1.1.16 care au fost rezolvate în mai puţin de două zile calendaristice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/>
            </w:pPr>
            <w:r>
              <w:rPr/>
              <w:t>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>
                <w:b/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>
                <w:b/>
                <w:b/>
                <w:lang w:val="pt-PT"/>
              </w:rPr>
            </w:pPr>
            <w:r>
              <w:rPr>
                <w:b/>
                <w:lang w:val="pt-PT"/>
              </w:rPr>
              <w:t>Facturarea şi încasarea contravalorii prestaţiilor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  <w:t>1.2.1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>
                <w:lang w:val="pt-PT"/>
              </w:rPr>
            </w:pPr>
            <w:r>
              <w:rPr>
                <w:lang w:val="pt-PT"/>
              </w:rPr>
              <w:t>Valoarea totală a facturilor încasate de la operatorii de colectare si transport raportată la valoarea totală a facturilor emise catre acestia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/>
            </w:pPr>
            <w:r>
              <w:rPr/>
              <w:t>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/>
              <w:t>92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>
                <w:b/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8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>
                <w:b/>
                <w:b/>
              </w:rPr>
            </w:pPr>
            <w:r>
              <w:rPr>
                <w:b/>
              </w:rPr>
              <w:t>Răspunsuri la solicitări scrise ale utilizatorilor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  <w:t>1.3.1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>
                <w:lang w:val="pt-PT"/>
              </w:rPr>
            </w:pPr>
            <w:r>
              <w:rPr>
                <w:lang w:val="pt-PT"/>
              </w:rPr>
              <w:t xml:space="preserve">Numărul de sesizări scrise privind activitatea de operare a instalaţiilor de gestionare a deşeurilor, raportat la numărul total de utilizatori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/>
            </w:pPr>
            <w:r>
              <w:rPr/>
              <w:t>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  <w:t>1.3.2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  <w:t>Procentul din totalul de la punctul 1.3.1 la care s-a răspuns într-un termen mai mic de 30 zile calendaristice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/>
            </w:pPr>
            <w:r>
              <w:rPr/>
              <w:t>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  <w:t>1.3.3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  <w:t>Procentul din totalul de la punctul 1.3.2 care s-a dovedit a fi întemeiat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/>
            </w:pPr>
            <w:r>
              <w:rPr/>
              <w:t>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>
                <w:b/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>
                <w:b/>
                <w:b/>
              </w:rPr>
            </w:pPr>
            <w:r>
              <w:rPr>
                <w:b/>
              </w:rPr>
              <w:t>INDICATORI DE PERFORMANTA GARANTATI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>
                <w:b/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8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>
                <w:b/>
                <w:b/>
                <w:lang w:val="pt-PT"/>
              </w:rPr>
            </w:pPr>
            <w:r>
              <w:rPr>
                <w:b/>
                <w:lang w:val="pt-PT"/>
              </w:rPr>
              <w:t>Indicatori de performanţă garantaţi prin licenţa de prestare a serviciului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  <w:t>2.1.1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>
                <w:lang w:val="pt-PT"/>
              </w:rPr>
            </w:pPr>
            <w:r>
              <w:rPr>
                <w:lang w:val="pt-PT"/>
              </w:rPr>
              <w:t>Numărul de sesizări scrise privind nerespectarea de către operatorul instalaţiilor de gestionare a deşeurilor a obligaţiilor din licenţă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/>
              <w:t>Nr.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  <w:t>2.1.2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>
                <w:lang w:val="pt-PT"/>
              </w:rPr>
            </w:pPr>
            <w:r>
              <w:rPr>
                <w:lang w:val="pt-PT"/>
              </w:rPr>
              <w:t>Numărul de încălcări ale obligaţiilor operatorului instalaţiilor de gestionare a deşeurilor rezultate din analizele si controalele organismelor abilitate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/>
              <w:t>Nr.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/>
              <w:t>0</w:t>
            </w:r>
          </w:p>
        </w:tc>
      </w:tr>
    </w:tbl>
    <w:p>
      <w:pPr>
        <w:pStyle w:val="Normal"/>
        <w:spacing w:lineRule="auto" w:line="288"/>
        <w:rPr/>
      </w:pPr>
      <w:r>
        <w:rPr/>
      </w:r>
    </w:p>
    <w:p>
      <w:pPr>
        <w:pStyle w:val="Normal"/>
        <w:spacing w:lineRule="auto" w:line="288"/>
        <w:rPr/>
      </w:pPr>
      <w:r>
        <w:rPr/>
      </w:r>
    </w:p>
    <w:p>
      <w:pPr>
        <w:pStyle w:val="Normal"/>
        <w:spacing w:lineRule="atLeast" w:line="345" w:before="0" w:after="150"/>
        <w:jc w:val="right"/>
        <w:rPr>
          <w:b/>
          <w:b/>
          <w:color w:val="333333"/>
          <w:lang w:val="ro-RO" w:eastAsia="en-GB"/>
        </w:rPr>
      </w:pPr>
      <w:r>
        <w:rPr>
          <w:b/>
          <w:color w:val="333333"/>
          <w:lang w:val="ro-RO" w:eastAsia="en-GB"/>
        </w:rPr>
      </w:r>
    </w:p>
    <w:p>
      <w:pPr>
        <w:pStyle w:val="Normal"/>
        <w:spacing w:lineRule="atLeast" w:line="345" w:before="0" w:after="150"/>
        <w:jc w:val="right"/>
        <w:rPr>
          <w:b/>
          <w:b/>
          <w:color w:val="333333"/>
          <w:lang w:val="ro-RO" w:eastAsia="en-GB"/>
        </w:rPr>
      </w:pPr>
      <w:r>
        <w:rPr>
          <w:b/>
          <w:color w:val="333333"/>
          <w:lang w:val="ro-RO" w:eastAsia="en-GB"/>
        </w:rPr>
      </w:r>
    </w:p>
    <w:p>
      <w:pPr>
        <w:pStyle w:val="Normal"/>
        <w:spacing w:lineRule="atLeast" w:line="345" w:before="0" w:after="150"/>
        <w:jc w:val="right"/>
        <w:rPr>
          <w:b/>
          <w:b/>
          <w:color w:val="333333"/>
          <w:lang w:val="ro-RO" w:eastAsia="en-GB"/>
        </w:rPr>
      </w:pPr>
      <w:r>
        <w:rPr>
          <w:b/>
          <w:color w:val="333333"/>
          <w:lang w:val="ro-RO" w:eastAsia="en-GB"/>
        </w:rPr>
      </w:r>
    </w:p>
    <w:p>
      <w:pPr>
        <w:pStyle w:val="Normal"/>
        <w:spacing w:lineRule="atLeast" w:line="345" w:before="0" w:after="150"/>
        <w:jc w:val="right"/>
        <w:rPr>
          <w:b/>
          <w:b/>
          <w:color w:val="333333"/>
          <w:lang w:val="ro-RO" w:eastAsia="en-GB"/>
        </w:rPr>
      </w:pPr>
      <w:r>
        <w:rPr>
          <w:b/>
          <w:color w:val="333333"/>
          <w:lang w:val="ro-RO" w:eastAsia="en-GB"/>
        </w:rPr>
      </w:r>
    </w:p>
    <w:p>
      <w:pPr>
        <w:sectPr>
          <w:footerReference w:type="default" r:id="rId2"/>
          <w:type w:val="nextPage"/>
          <w:pgSz w:w="11906" w:h="16838"/>
          <w:pgMar w:left="1440" w:right="1440" w:header="0" w:top="1440" w:footer="708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tLeast" w:line="345" w:before="0" w:after="150"/>
        <w:jc w:val="right"/>
        <w:rPr>
          <w:b/>
          <w:b/>
          <w:color w:val="333333"/>
          <w:lang w:val="ro-RO" w:eastAsia="en-GB"/>
        </w:rPr>
      </w:pPr>
      <w:r>
        <w:rPr>
          <w:b/>
          <w:color w:val="333333"/>
          <w:lang w:val="ro-RO" w:eastAsia="en-GB"/>
        </w:rPr>
      </w:r>
    </w:p>
    <w:tbl>
      <w:tblPr>
        <w:tblW w:w="15889" w:type="dxa"/>
        <w:jc w:val="left"/>
        <w:tblInd w:w="-880" w:type="dxa"/>
        <w:tblCellMar>
          <w:top w:w="7" w:type="dxa"/>
          <w:left w:w="107" w:type="dxa"/>
          <w:bottom w:w="0" w:type="dxa"/>
          <w:right w:w="50" w:type="dxa"/>
        </w:tblCellMar>
        <w:tblLook w:firstRow="1" w:noVBand="1" w:lastRow="0" w:firstColumn="1" w:lastColumn="0" w:noHBand="0" w:val="04a0"/>
      </w:tblPr>
      <w:tblGrid>
        <w:gridCol w:w="727"/>
        <w:gridCol w:w="2390"/>
        <w:gridCol w:w="3686"/>
        <w:gridCol w:w="3537"/>
        <w:gridCol w:w="5528"/>
        <w:gridCol w:w="20"/>
      </w:tblGrid>
      <w:tr>
        <w:trPr>
          <w:trHeight w:val="409" w:hRule="atLeast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</w:tcPr>
          <w:p>
            <w:pPr>
              <w:pStyle w:val="Normal"/>
              <w:pageBreakBefore/>
              <w:spacing w:lineRule="atLeast" w:line="345" w:before="0" w:after="150"/>
              <w:jc w:val="right"/>
              <w:rPr>
                <w:b/>
                <w:b/>
                <w:color w:val="333333"/>
                <w:lang w:eastAsia="en-GB"/>
              </w:rPr>
            </w:pPr>
            <w:r>
              <w:rPr>
                <w:b/>
                <w:color w:val="333333"/>
                <w:lang w:eastAsia="en-GB"/>
              </w:rPr>
              <w:t xml:space="preserve">Nr.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</w:tcPr>
          <w:p>
            <w:pPr>
              <w:pStyle w:val="Normal"/>
              <w:spacing w:lineRule="atLeast" w:line="345" w:before="0" w:after="150"/>
              <w:jc w:val="right"/>
              <w:rPr>
                <w:b/>
                <w:b/>
                <w:color w:val="333333"/>
                <w:lang w:eastAsia="en-GB"/>
              </w:rPr>
            </w:pPr>
            <w:r>
              <w:rPr>
                <w:b/>
                <w:color w:val="333333"/>
                <w:lang w:eastAsia="en-GB"/>
              </w:rPr>
              <w:t xml:space="preserve">Titlu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</w:tcPr>
          <w:p>
            <w:pPr>
              <w:pStyle w:val="Normal"/>
              <w:spacing w:lineRule="atLeast" w:line="345" w:before="0" w:after="150"/>
              <w:rPr>
                <w:b/>
                <w:b/>
                <w:color w:val="333333"/>
                <w:lang w:eastAsia="en-GB"/>
              </w:rPr>
            </w:pPr>
            <w:r>
              <w:rPr>
                <w:b/>
                <w:color w:val="333333"/>
                <w:lang w:eastAsia="en-GB"/>
              </w:rPr>
              <w:t xml:space="preserve">Descriere/unitate de măsurare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</w:tcPr>
          <w:p>
            <w:pPr>
              <w:pStyle w:val="Normal"/>
              <w:spacing w:lineRule="atLeast" w:line="345" w:before="0" w:after="150"/>
              <w:jc w:val="right"/>
              <w:rPr>
                <w:b/>
                <w:b/>
                <w:color w:val="333333"/>
                <w:lang w:eastAsia="en-GB"/>
              </w:rPr>
            </w:pPr>
            <w:r>
              <w:rPr>
                <w:b/>
                <w:color w:val="333333"/>
                <w:lang w:eastAsia="en-GB"/>
              </w:rPr>
              <w:t xml:space="preserve">Valori propuse/ interval de valori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</w:tcPr>
          <w:p>
            <w:pPr>
              <w:pStyle w:val="Normal"/>
              <w:spacing w:lineRule="atLeast" w:line="345" w:before="0" w:after="150"/>
              <w:jc w:val="right"/>
              <w:rPr>
                <w:b/>
                <w:b/>
                <w:color w:val="333333"/>
                <w:lang w:eastAsia="en-GB"/>
              </w:rPr>
            </w:pPr>
            <w:r>
              <w:rPr>
                <w:b/>
                <w:color w:val="333333"/>
                <w:lang w:eastAsia="en-GB"/>
              </w:rPr>
              <w:t xml:space="preserve">Penalităţi propuse  </w:t>
            </w:r>
          </w:p>
        </w:tc>
        <w:tc>
          <w:tcPr>
            <w:tcW w:w="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15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tLeast" w:line="345" w:before="0" w:after="150"/>
              <w:rPr>
                <w:b/>
                <w:b/>
                <w:color w:val="333333"/>
                <w:lang w:val="ro-RO" w:eastAsia="en-GB"/>
              </w:rPr>
            </w:pPr>
            <w:r>
              <w:rPr>
                <w:b/>
                <w:color w:val="333333"/>
                <w:lang w:eastAsia="en-GB"/>
              </w:rPr>
              <w:t>1. Indicatori de performanţă  cu penalit</w:t>
            </w:r>
            <w:r>
              <w:rPr>
                <w:b/>
                <w:color w:val="333333"/>
                <w:lang w:val="ro-RO" w:eastAsia="en-GB"/>
              </w:rPr>
              <w:t>ăți</w:t>
            </w:r>
          </w:p>
        </w:tc>
      </w:tr>
      <w:tr>
        <w:trPr>
          <w:trHeight w:val="287" w:hRule="atLeast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5" w:before="0" w:after="150"/>
              <w:jc w:val="right"/>
              <w:rPr>
                <w:b/>
                <w:b/>
                <w:color w:val="333333"/>
                <w:lang w:eastAsia="en-GB"/>
              </w:rPr>
            </w:pPr>
            <w:r>
              <w:rPr>
                <w:b/>
                <w:color w:val="333333"/>
                <w:lang w:eastAsia="en-GB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5" w:before="0" w:after="150"/>
              <w:jc w:val="right"/>
              <w:rPr>
                <w:b/>
                <w:b/>
                <w:color w:val="333333"/>
                <w:lang w:eastAsia="en-GB"/>
              </w:rPr>
            </w:pPr>
            <w:r>
              <w:rPr>
                <w:b/>
                <w:color w:val="333333"/>
                <w:lang w:eastAsia="en-GB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5" w:before="0" w:after="150"/>
              <w:rPr>
                <w:b/>
                <w:b/>
                <w:color w:val="333333"/>
                <w:lang w:eastAsia="en-GB"/>
              </w:rPr>
            </w:pPr>
            <w:r>
              <w:rPr>
                <w:b/>
                <w:color w:val="333333"/>
                <w:lang w:eastAsia="en-GB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5" w:before="0" w:after="150"/>
              <w:jc w:val="right"/>
              <w:rPr>
                <w:b/>
                <w:b/>
                <w:color w:val="333333"/>
                <w:lang w:eastAsia="en-GB"/>
              </w:rPr>
            </w:pPr>
            <w:r>
              <w:rPr>
                <w:b/>
                <w:color w:val="333333"/>
                <w:lang w:eastAsia="en-GB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5" w:before="0" w:after="150"/>
              <w:jc w:val="right"/>
              <w:rPr>
                <w:b/>
                <w:b/>
                <w:color w:val="333333"/>
                <w:lang w:eastAsia="en-GB"/>
              </w:rPr>
            </w:pPr>
            <w:r>
              <w:rPr>
                <w:b/>
                <w:color w:val="333333"/>
                <w:lang w:eastAsia="en-GB"/>
              </w:rPr>
              <w:t xml:space="preserve"> </w:t>
            </w:r>
          </w:p>
        </w:tc>
        <w:tc>
          <w:tcPr>
            <w:tcW w:w="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63" w:hRule="atLeast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5" w:before="0" w:after="150"/>
              <w:jc w:val="right"/>
              <w:rPr>
                <w:b/>
                <w:b/>
                <w:color w:val="333333"/>
                <w:lang w:eastAsia="en-GB"/>
              </w:rPr>
            </w:pPr>
            <w:r>
              <w:rPr>
                <w:b/>
                <w:color w:val="333333"/>
                <w:lang w:eastAsia="en-GB"/>
              </w:rPr>
              <w:t xml:space="preserve">1.1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5" w:before="0" w:after="150"/>
              <w:jc w:val="right"/>
              <w:rPr>
                <w:b/>
                <w:b/>
                <w:color w:val="333333"/>
                <w:lang w:val="it-IT" w:eastAsia="en-GB"/>
              </w:rPr>
            </w:pPr>
            <w:r>
              <w:rPr>
                <w:b/>
                <w:color w:val="333333"/>
                <w:lang w:val="it-IT" w:eastAsia="en-GB"/>
              </w:rPr>
              <w:t xml:space="preserve">Nerespectarea conditiilor corespunzatoare de prestare  a activitatii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tLeast" w:line="345" w:before="0" w:after="150"/>
              <w:rPr>
                <w:b/>
                <w:b/>
                <w:color w:val="333333"/>
                <w:lang w:val="it-IT" w:eastAsia="en-GB"/>
              </w:rPr>
            </w:pPr>
            <w:r>
              <w:rPr>
                <w:b/>
                <w:color w:val="333333"/>
                <w:lang w:val="it-IT" w:eastAsia="en-GB"/>
              </w:rPr>
              <w:t xml:space="preserve">numărul de cazuri in care s-au produs pagube de orice fel in dauna utilizatorilor sau imbolnavirea utilizatorilor din cauza nerespectării condiţiilor corespunzătoare de prestare a activităţii, din culpa operatorului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5" w:before="0" w:after="150"/>
              <w:jc w:val="right"/>
              <w:rPr>
                <w:b/>
                <w:b/>
                <w:color w:val="333333"/>
                <w:lang w:eastAsia="en-GB"/>
              </w:rPr>
            </w:pPr>
            <w:r>
              <w:rPr>
                <w:b/>
                <w:color w:val="333333"/>
                <w:lang w:val="it-IT" w:eastAsia="en-GB"/>
              </w:rPr>
              <w:t xml:space="preserve">  </w:t>
            </w:r>
            <w:r>
              <w:rPr>
                <w:b/>
                <w:color w:val="333333"/>
                <w:lang w:eastAsia="en-GB"/>
              </w:rPr>
              <w:t xml:space="preserve">0 </w:t>
            </w:r>
          </w:p>
          <w:p>
            <w:pPr>
              <w:pStyle w:val="Normal"/>
              <w:spacing w:lineRule="atLeast" w:line="345" w:before="0" w:after="150"/>
              <w:jc w:val="right"/>
              <w:rPr>
                <w:b/>
                <w:b/>
                <w:color w:val="333333"/>
                <w:lang w:eastAsia="en-GB"/>
              </w:rPr>
            </w:pPr>
            <w:r>
              <w:rPr>
                <w:b/>
                <w:color w:val="333333"/>
                <w:lang w:eastAsia="en-GB"/>
              </w:rPr>
              <w:t xml:space="preserve"> </w:t>
            </w:r>
          </w:p>
          <w:p>
            <w:pPr>
              <w:pStyle w:val="Normal"/>
              <w:spacing w:lineRule="atLeast" w:line="345" w:before="0" w:after="150"/>
              <w:jc w:val="right"/>
              <w:rPr>
                <w:b/>
                <w:b/>
                <w:color w:val="333333"/>
                <w:lang w:eastAsia="en-GB"/>
              </w:rPr>
            </w:pPr>
            <w:r>
              <w:rPr>
                <w:b/>
                <w:color w:val="333333"/>
                <w:lang w:eastAsia="en-GB"/>
              </w:rPr>
              <w:t xml:space="preserve"> </w:t>
            </w:r>
          </w:p>
          <w:p>
            <w:pPr>
              <w:pStyle w:val="Normal"/>
              <w:spacing w:lineRule="atLeast" w:line="345" w:before="0" w:after="150"/>
              <w:jc w:val="right"/>
              <w:rPr>
                <w:b/>
                <w:b/>
                <w:color w:val="333333"/>
                <w:lang w:eastAsia="en-GB"/>
              </w:rPr>
            </w:pPr>
            <w:r>
              <w:rPr>
                <w:b/>
                <w:color w:val="333333"/>
                <w:lang w:eastAsia="en-GB"/>
              </w:rPr>
              <w:t xml:space="preserve">  </w:t>
            </w:r>
          </w:p>
          <w:p>
            <w:pPr>
              <w:pStyle w:val="Normal"/>
              <w:spacing w:lineRule="atLeast" w:line="345" w:before="0" w:after="150"/>
              <w:jc w:val="right"/>
              <w:rPr>
                <w:b/>
                <w:b/>
                <w:color w:val="333333"/>
                <w:lang w:eastAsia="en-GB"/>
              </w:rPr>
            </w:pPr>
            <w:r>
              <w:rPr>
                <w:b/>
                <w:color w:val="333333"/>
                <w:lang w:eastAsia="en-GB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5" w:before="0" w:after="150"/>
              <w:jc w:val="right"/>
              <w:rPr>
                <w:b/>
                <w:b/>
                <w:color w:val="333333"/>
                <w:lang w:val="it-IT" w:eastAsia="en-GB"/>
              </w:rPr>
            </w:pPr>
            <w:r>
              <w:rPr>
                <w:b/>
                <w:color w:val="333333"/>
                <w:lang w:val="it-IT" w:eastAsia="en-GB"/>
              </w:rPr>
              <w:t xml:space="preserve">O penalitate de 1.000 lei/caz. </w:t>
            </w:r>
          </w:p>
          <w:p>
            <w:pPr>
              <w:pStyle w:val="Normal"/>
              <w:spacing w:lineRule="atLeast" w:line="345" w:before="0" w:after="150"/>
              <w:jc w:val="right"/>
              <w:rPr>
                <w:b/>
                <w:b/>
                <w:color w:val="333333"/>
                <w:lang w:val="it-IT" w:eastAsia="en-GB"/>
              </w:rPr>
            </w:pPr>
            <w:r>
              <w:rPr>
                <w:b/>
                <w:color w:val="333333"/>
                <w:lang w:val="it-IT" w:eastAsia="en-GB"/>
              </w:rPr>
              <w:t xml:space="preserve"> </w:t>
            </w:r>
          </w:p>
          <w:p>
            <w:pPr>
              <w:pStyle w:val="Normal"/>
              <w:spacing w:lineRule="atLeast" w:line="345" w:before="0" w:after="150"/>
              <w:jc w:val="right"/>
              <w:rPr>
                <w:b/>
                <w:b/>
                <w:color w:val="333333"/>
                <w:lang w:val="it-IT" w:eastAsia="en-GB"/>
              </w:rPr>
            </w:pPr>
            <w:r>
              <w:rPr>
                <w:b/>
                <w:color w:val="333333"/>
                <w:lang w:val="it-IT" w:eastAsia="en-GB"/>
              </w:rPr>
              <w:t xml:space="preserve"> </w:t>
            </w:r>
          </w:p>
          <w:p>
            <w:pPr>
              <w:pStyle w:val="Normal"/>
              <w:spacing w:lineRule="atLeast" w:line="345" w:before="0" w:after="150"/>
              <w:jc w:val="right"/>
              <w:rPr>
                <w:b/>
                <w:b/>
                <w:color w:val="333333"/>
                <w:lang w:val="it-IT" w:eastAsia="en-GB"/>
              </w:rPr>
            </w:pPr>
            <w:r>
              <w:rPr>
                <w:b/>
                <w:color w:val="333333"/>
                <w:lang w:val="it-IT" w:eastAsia="en-GB"/>
              </w:rPr>
              <w:t xml:space="preserve"> </w:t>
            </w:r>
          </w:p>
          <w:p>
            <w:pPr>
              <w:pStyle w:val="Normal"/>
              <w:spacing w:lineRule="atLeast" w:line="345" w:before="0" w:after="150"/>
              <w:jc w:val="right"/>
              <w:rPr>
                <w:b/>
                <w:b/>
                <w:color w:val="333333"/>
                <w:lang w:val="it-IT" w:eastAsia="en-GB"/>
              </w:rPr>
            </w:pPr>
            <w:r>
              <w:rPr>
                <w:b/>
                <w:color w:val="333333"/>
                <w:lang w:val="it-IT" w:eastAsia="en-GB"/>
              </w:rPr>
              <w:t xml:space="preserve"> </w:t>
            </w:r>
          </w:p>
        </w:tc>
        <w:tc>
          <w:tcPr>
            <w:tcW w:w="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14" w:hRule="atLeast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5" w:before="0" w:after="150"/>
              <w:jc w:val="right"/>
              <w:rPr>
                <w:b/>
                <w:b/>
                <w:color w:val="333333"/>
                <w:lang w:eastAsia="en-GB"/>
              </w:rPr>
            </w:pPr>
            <w:r>
              <w:rPr>
                <w:b/>
                <w:color w:val="333333"/>
                <w:lang w:eastAsia="en-GB"/>
              </w:rPr>
              <w:t xml:space="preserve">1.2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5" w:before="0" w:after="150"/>
              <w:jc w:val="right"/>
              <w:rPr>
                <w:b/>
                <w:b/>
                <w:color w:val="333333"/>
                <w:lang w:val="it-IT" w:eastAsia="en-GB"/>
              </w:rPr>
            </w:pPr>
            <w:r>
              <w:rPr>
                <w:b/>
                <w:color w:val="333333"/>
                <w:lang w:val="it-IT" w:eastAsia="en-GB"/>
              </w:rPr>
              <w:t xml:space="preserve">Neconformitati din Caietul de sarcini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5" w:before="0" w:after="150"/>
              <w:rPr>
                <w:b/>
                <w:b/>
                <w:color w:val="333333"/>
                <w:lang w:val="it-IT" w:eastAsia="en-GB"/>
              </w:rPr>
            </w:pPr>
            <w:r>
              <w:rPr>
                <w:b/>
                <w:color w:val="333333"/>
                <w:lang w:val="it-IT" w:eastAsia="en-GB"/>
              </w:rPr>
              <w:t xml:space="preserve">numărul de neconformităţi din Caietul de sarcini constatate de autoritatea administraţiei publice (ADI ECODOLJ), pe activităţi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5" w:before="0" w:after="150"/>
              <w:jc w:val="right"/>
              <w:rPr>
                <w:b/>
                <w:b/>
                <w:color w:val="333333"/>
                <w:lang w:eastAsia="en-GB"/>
              </w:rPr>
            </w:pPr>
            <w:r>
              <w:rPr>
                <w:b/>
                <w:color w:val="333333"/>
                <w:lang w:val="it-IT" w:eastAsia="en-GB"/>
              </w:rPr>
              <w:t xml:space="preserve"> </w:t>
            </w:r>
            <w:r>
              <w:rPr>
                <w:b/>
                <w:color w:val="333333"/>
                <w:lang w:eastAsia="en-GB"/>
              </w:rPr>
              <w:t xml:space="preserve">0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5" w:before="0" w:after="150"/>
              <w:jc w:val="right"/>
              <w:rPr>
                <w:b/>
                <w:b/>
                <w:color w:val="333333"/>
                <w:lang w:val="it-IT" w:eastAsia="en-GB"/>
              </w:rPr>
            </w:pPr>
            <w:r>
              <w:rPr>
                <w:b/>
                <w:color w:val="333333"/>
                <w:lang w:val="it-IT" w:eastAsia="en-GB"/>
              </w:rPr>
              <w:t xml:space="preserve">O penalitate de 500 lei/caz. </w:t>
            </w:r>
          </w:p>
        </w:tc>
        <w:tc>
          <w:tcPr>
            <w:tcW w:w="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15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tLeast" w:line="345" w:before="0" w:after="150"/>
              <w:rPr>
                <w:b/>
                <w:b/>
                <w:color w:val="333333"/>
                <w:lang w:eastAsia="en-GB"/>
              </w:rPr>
            </w:pPr>
            <w:r>
              <w:rPr>
                <w:b/>
                <w:color w:val="333333"/>
                <w:lang w:eastAsia="en-GB"/>
              </w:rPr>
              <w:t xml:space="preserve">2. Indicatori tehnici </w:t>
            </w:r>
          </w:p>
        </w:tc>
      </w:tr>
      <w:tr>
        <w:trPr>
          <w:trHeight w:val="1118" w:hRule="atLeast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5" w:before="0" w:after="150"/>
              <w:jc w:val="right"/>
              <w:rPr>
                <w:b/>
                <w:b/>
                <w:color w:val="333333"/>
                <w:lang w:eastAsia="en-GB"/>
              </w:rPr>
            </w:pPr>
            <w:r>
              <w:rPr>
                <w:b/>
                <w:color w:val="333333"/>
                <w:lang w:eastAsia="en-GB"/>
              </w:rPr>
              <w:t>2.1.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5" w:before="0" w:after="150"/>
              <w:rPr>
                <w:b/>
                <w:b/>
                <w:color w:val="333333"/>
                <w:lang w:val="pt-PT" w:eastAsia="en-GB"/>
              </w:rPr>
            </w:pPr>
            <w:r>
              <w:rPr>
                <w:b/>
                <w:color w:val="333333"/>
                <w:lang w:val="pt-PT" w:eastAsia="en-GB"/>
              </w:rPr>
              <w:t xml:space="preserve">Operarea Stației de Sortare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345" w:before="0" w:after="150"/>
              <w:rPr>
                <w:b/>
                <w:b/>
                <w:color w:val="333333"/>
                <w:lang w:val="it-IT" w:eastAsia="en-GB"/>
              </w:rPr>
            </w:pPr>
            <w:r>
              <w:rPr>
                <w:b/>
                <w:color w:val="333333"/>
                <w:lang w:val="it-IT" w:eastAsia="en-GB"/>
              </w:rPr>
              <w:t>Cantitatea totală de deşeuri trimise la reciclare ca procentaj din cantitatea totală de deşeuri acceptate la staţiile de sortare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345" w:before="0" w:after="150"/>
              <w:jc w:val="right"/>
              <w:rPr>
                <w:b/>
                <w:b/>
                <w:color w:val="333333"/>
                <w:lang w:val="it-IT" w:eastAsia="en-GB"/>
              </w:rPr>
            </w:pPr>
            <w:r>
              <w:rPr>
                <w:b/>
                <w:color w:val="333333"/>
                <w:lang w:val="it-IT" w:eastAsia="en-GB"/>
              </w:rPr>
              <w:t>75%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jc w:val="both"/>
              <w:rPr>
                <w:b/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Pentru cantitatea de deșeuri depozitată ce depășește cantitatea corespunzătoare indicatorului de performanță delegatul va suporta contribuția cu economia circulară și tariful pentru eliminarea deșeurilor.</w:t>
            </w:r>
          </w:p>
          <w:p>
            <w:pPr>
              <w:pStyle w:val="Normal"/>
              <w:widowControl w:val="false"/>
              <w:pBdr/>
              <w:jc w:val="both"/>
              <w:rPr>
                <w:b/>
                <w:b/>
                <w:bCs/>
                <w:highlight w:val="cyan"/>
                <w:lang w:val="it-IT"/>
              </w:rPr>
            </w:pPr>
            <w:r>
              <w:rPr>
                <w:b/>
                <w:bCs/>
                <w:lang w:val="it-IT"/>
              </w:rPr>
              <w:t>Mai precis dacă delegatul depozitează peste 25% din cantitatea de deșeuri acceptată la stația de sortare, acesta va suporta contribuția cu economia circulară și tariful pentru eliminarea deșeurilor ce depășesc cei 25%.</w:t>
            </w:r>
          </w:p>
          <w:p>
            <w:pPr>
              <w:pStyle w:val="Normal"/>
              <w:widowControl w:val="false"/>
              <w:pBdr/>
              <w:spacing w:lineRule="auto" w:line="266"/>
              <w:jc w:val="both"/>
              <w:rPr>
                <w:b/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 xml:space="preserve">Pentru cantitatea de deșeuri valorificată prin reciclare mai mică decât indicatorul de 75% se aplică anual următorul sistem gradat de penalizare:  </w:t>
            </w:r>
          </w:p>
          <w:p>
            <w:pPr>
              <w:pStyle w:val="Normal"/>
              <w:spacing w:lineRule="atLeast" w:line="345" w:before="0" w:after="150"/>
              <w:jc w:val="both"/>
              <w:rPr>
                <w:b/>
                <w:b/>
                <w:color w:val="333333"/>
                <w:lang w:val="it-IT" w:eastAsia="en-GB"/>
              </w:rPr>
            </w:pPr>
            <w:r>
              <w:rPr>
                <w:b/>
                <w:color w:val="333333"/>
                <w:lang w:val="it-IT" w:eastAsia="en-GB"/>
              </w:rPr>
              <w:t>10.000 LEI pentru fiecare 5 % sub procentul indicat.</w:t>
            </w:r>
          </w:p>
        </w:tc>
        <w:tc>
          <w:tcPr>
            <w:tcW w:w="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18" w:hRule="atLeast"/>
        </w:trPr>
        <w:tc>
          <w:tcPr>
            <w:tcW w:w="7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5" w:before="0" w:after="150"/>
              <w:jc w:val="right"/>
              <w:rPr>
                <w:b/>
                <w:b/>
                <w:color w:val="333333"/>
                <w:lang w:eastAsia="en-GB"/>
              </w:rPr>
            </w:pPr>
            <w:r>
              <w:rPr>
                <w:b/>
                <w:color w:val="333333"/>
                <w:lang w:eastAsia="en-GB"/>
              </w:rPr>
            </w:r>
          </w:p>
        </w:tc>
        <w:tc>
          <w:tcPr>
            <w:tcW w:w="23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5" w:before="0" w:after="150"/>
              <w:rPr>
                <w:b/>
                <w:b/>
                <w:color w:val="333333"/>
                <w:lang w:val="pt-PT" w:eastAsia="en-GB"/>
              </w:rPr>
            </w:pPr>
            <w:r>
              <w:rPr>
                <w:b/>
                <w:color w:val="333333"/>
                <w:lang w:val="pt-PT" w:eastAsia="en-GB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345" w:before="0" w:after="150"/>
              <w:jc w:val="both"/>
              <w:rPr>
                <w:b/>
                <w:b/>
                <w:bCs/>
                <w:color w:val="333333"/>
                <w:lang w:val="it-IT" w:eastAsia="en-GB"/>
              </w:rPr>
            </w:pPr>
            <w:r>
              <w:rPr>
                <w:b/>
                <w:bCs/>
                <w:color w:val="000000"/>
                <w:lang w:val="it-IT"/>
              </w:rPr>
              <w:t>Cantitatea totala de deseuri trimisa la valorificare (altă formă decât reciclare) ca procentaj din cantitatea totala de deseuri acceptate la statiile de sortare (%).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345" w:before="0" w:after="150"/>
              <w:jc w:val="right"/>
              <w:rPr>
                <w:b/>
                <w:b/>
                <w:color w:val="333333"/>
                <w:lang w:val="it-IT" w:eastAsia="en-GB"/>
              </w:rPr>
            </w:pPr>
            <w:r>
              <w:rPr>
                <w:b/>
                <w:color w:val="000000"/>
              </w:rPr>
              <w:t>Min. 5%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jc w:val="both"/>
              <w:rPr>
                <w:b/>
                <w:b/>
                <w:bCs/>
                <w:lang w:val="it-IT"/>
              </w:rPr>
            </w:pPr>
            <w:r>
              <w:rPr>
                <w:b/>
                <w:bCs/>
                <w:color w:val="000000"/>
                <w:lang w:val="it-IT"/>
              </w:rPr>
              <w:t>Se va aplica o penalizare în caz de mai putin de 5% pe an:  5.000 LEI</w:t>
            </w:r>
          </w:p>
        </w:tc>
        <w:tc>
          <w:tcPr>
            <w:tcW w:w="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18" w:hRule="atLeast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5" w:before="0" w:after="150"/>
              <w:jc w:val="right"/>
              <w:rPr>
                <w:b/>
                <w:b/>
                <w:color w:val="333333"/>
                <w:lang w:eastAsia="en-GB"/>
              </w:rPr>
            </w:pPr>
            <w:r>
              <w:rPr>
                <w:b/>
                <w:color w:val="333333"/>
                <w:lang w:eastAsia="en-GB"/>
              </w:rPr>
              <w:t>2.2.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45" w:before="0" w:after="150"/>
              <w:rPr>
                <w:b/>
                <w:b/>
                <w:color w:val="333333"/>
                <w:lang w:val="pt-PT" w:eastAsia="en-GB"/>
              </w:rPr>
            </w:pPr>
            <w:r>
              <w:rPr>
                <w:b/>
                <w:color w:val="333333"/>
                <w:lang w:val="pt-PT" w:eastAsia="en-GB"/>
              </w:rPr>
              <w:t>Operarea Stațiilor de Compostare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345" w:before="0" w:after="150"/>
              <w:jc w:val="both"/>
              <w:rPr>
                <w:b/>
                <w:b/>
                <w:bCs/>
                <w:color w:val="000000"/>
                <w:lang w:val="it-IT"/>
              </w:rPr>
            </w:pPr>
            <w:r>
              <w:rPr>
                <w:b/>
                <w:bCs/>
              </w:rPr>
              <w:t>Cantitatea totală depozitată într-un an calendaristic ca urmare a operării stațiilor de compostare raportată la cantitatea totală de deşeuri acceptată la staţiile de compostare (%)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345" w:before="0" w:after="150"/>
              <w:jc w:val="righ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Max. 35%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jc w:val="both"/>
              <w:rPr>
                <w:b/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Pentru cantitatea de deșeuri depozitată ce depășește cantitatea corespunzătoare indicatorului de performanță delegatul va suporta contribuția cu economia circulară și tariful pentru eliminarea deșeurilor.</w:t>
            </w:r>
          </w:p>
        </w:tc>
        <w:tc>
          <w:tcPr>
            <w:tcW w:w="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sectPr>
          <w:footerReference w:type="default" r:id="rId3"/>
          <w:type w:val="nextPage"/>
          <w:pgSz w:orient="landscape" w:w="16838" w:h="11906"/>
          <w:pgMar w:left="1417" w:right="1417" w:header="0" w:top="1417" w:footer="708" w:bottom="1417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2"/>
        <w:ind w:left="142" w:hanging="0"/>
        <w:rPr>
          <w:rFonts w:ascii="Times New Roman" w:hAnsi="Times New Roman"/>
          <w:bCs w:val="false"/>
          <w:i/>
          <w:i/>
        </w:rPr>
      </w:pPr>
      <w:r>
        <w:rPr>
          <w:rFonts w:ascii="Times New Roman" w:hAnsi="Times New Roman"/>
          <w:bCs w:val="false"/>
          <w:i/>
        </w:rPr>
        <w:t xml:space="preserve">Indicatori fără penalităţi pentru activitatea de sortare/compostare </w:t>
      </w:r>
    </w:p>
    <w:p>
      <w:pPr>
        <w:pStyle w:val="Normal"/>
        <w:rPr/>
      </w:pPr>
      <w:r>
        <w:rPr/>
      </w:r>
    </w:p>
    <w:tbl>
      <w:tblPr>
        <w:tblW w:w="1332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8"/>
        <w:gridCol w:w="3381"/>
        <w:gridCol w:w="4678"/>
        <w:gridCol w:w="4538"/>
      </w:tblGrid>
      <w:tr>
        <w:trPr>
          <w:tblHeader w:val="true"/>
          <w:trHeight w:val="165" w:hRule="atLeast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</w:tcPr>
          <w:p>
            <w:pPr>
              <w:pStyle w:val="Normal"/>
              <w:jc w:val="center"/>
              <w:rPr>
                <w:b/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Nr.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</w:tcPr>
          <w:p>
            <w:pPr>
              <w:pStyle w:val="Normal"/>
              <w:jc w:val="center"/>
              <w:rPr>
                <w:b/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Titlu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</w:tcPr>
          <w:p>
            <w:pPr>
              <w:pStyle w:val="Normal"/>
              <w:jc w:val="center"/>
              <w:rPr>
                <w:b/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Descriere/unitate de măsurare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</w:tcPr>
          <w:p>
            <w:pPr>
              <w:pStyle w:val="Normal"/>
              <w:jc w:val="center"/>
              <w:rPr>
                <w:b/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Comentarii</w:t>
            </w:r>
          </w:p>
        </w:tc>
      </w:tr>
      <w:tr>
        <w:trPr/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Cs w:val="18"/>
              </w:rPr>
              <w:t>1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Deşeuri reciclate de hârtie şi carton </w:t>
            </w:r>
            <w:r>
              <w:rPr/>
              <w:t>(</w:t>
            </w:r>
            <w:r>
              <w:rPr>
                <w:b/>
              </w:rPr>
              <w:t>%</w:t>
            </w:r>
            <w:r>
              <w:rPr/>
              <w:t>)</w:t>
            </w:r>
            <w:r>
              <w:rPr>
                <w:b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18"/>
              </w:rPr>
            </w:pPr>
            <w:r>
              <w:rPr/>
              <w:t xml:space="preserve">Cantitatea totală de deşeuri de hârtie şi carton (inclusiv deşeuri de ambalaje) reciclată ca procent din cantitatea totală de deşeuri de hârtie şi carton acceptată la Instalaţia de deşeuri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Datele sunt folosite in scopuri de monitorizare.</w:t>
            </w:r>
          </w:p>
        </w:tc>
      </w:tr>
      <w:tr>
        <w:trPr/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Cs w:val="18"/>
              </w:rPr>
              <w:t>2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Cs w:val="18"/>
              </w:rPr>
            </w:pPr>
            <w:r>
              <w:rPr>
                <w:b/>
              </w:rPr>
              <w:t>Deşeuri reciclate de plastic şi metal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Cantitatea totală de deşeuri din plastic şi metal (inclusiv deşeuri de ambalaje) reciclată ca procent din cantitatea totală de deşeuri de plastic şi metal acceptată la Instalaţia de deşeuri (</w:t>
            </w:r>
            <w:r>
              <w:rPr>
                <w:b/>
              </w:rPr>
              <w:t>%</w:t>
            </w:r>
            <w:r>
              <w:rPr/>
              <w:t>)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Datele sunt folosite in scopuri de monitorizare.</w:t>
            </w:r>
          </w:p>
        </w:tc>
      </w:tr>
      <w:tr>
        <w:trPr/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18"/>
              </w:rPr>
            </w:pPr>
            <w:r>
              <w:rPr>
                <w:szCs w:val="18"/>
                <w:lang w:val="ro-RO"/>
              </w:rPr>
              <w:t>3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  <w:lang w:val="ro-RO"/>
              </w:rPr>
              <w:t>Cantitatea de compost valorificata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o-RO"/>
              </w:rPr>
              <w:t>Cantitatea totală de compost valorificata ca procent din cantitatea totala de compost produsa in staţiile de compostare (</w:t>
            </w:r>
            <w:r>
              <w:rPr>
                <w:b/>
                <w:lang w:val="ro-RO"/>
              </w:rPr>
              <w:t>%</w:t>
            </w:r>
            <w:r>
              <w:rPr>
                <w:lang w:val="ro-RO"/>
              </w:rPr>
              <w:t>)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o-RO"/>
              </w:rPr>
              <w:t>Datele sunt folosite in scopuri de monitorizare.</w:t>
            </w:r>
          </w:p>
        </w:tc>
      </w:tr>
      <w:tr>
        <w:trPr/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18"/>
              </w:rPr>
            </w:pPr>
            <w:r>
              <w:rPr>
                <w:szCs w:val="18"/>
                <w:lang w:val="ro-RO"/>
              </w:rPr>
              <w:t>4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  <w:lang w:val="ro-RO"/>
              </w:rPr>
              <w:t xml:space="preserve">Cantitatea de deşeuri tratate biologic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Cantitatea totală de compost produs raportată la cantitatea totală de deşeuri acceptată la staţiile de compostare (%)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ro-RO"/>
              </w:rPr>
              <w:t>Datele sunt folosite in scopuri de monitorizare.</w:t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4"/>
      <w:type w:val="nextPage"/>
      <w:pgSz w:orient="landscape" w:w="16838" w:h="11906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imes New Roman Bold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54126402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2256435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75906118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zCs w:val="24"/>
        <w:rFonts w:cs="Times New Roman"/>
        <w:color w:val="000000"/>
      </w:rPr>
    </w:lvl>
    <w:lvl w:ilvl="1">
      <w:start w:val="1"/>
      <w:numFmt w:val="bullet"/>
      <w:lvlText w:val="o"/>
      <w:lvlJc w:val="left"/>
      <w:pPr>
        <w:ind w:left="118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2">
      <w:start w:val="1"/>
      <w:numFmt w:val="bullet"/>
      <w:lvlText w:val="▪"/>
      <w:lvlJc w:val="left"/>
      <w:pPr>
        <w:ind w:left="19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3">
      <w:start w:val="1"/>
      <w:numFmt w:val="bullet"/>
      <w:lvlText w:val="•"/>
      <w:lvlJc w:val="left"/>
      <w:pPr>
        <w:ind w:left="262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4">
      <w:start w:val="1"/>
      <w:numFmt w:val="bullet"/>
      <w:lvlText w:val="o"/>
      <w:lvlJc w:val="left"/>
      <w:pPr>
        <w:ind w:left="334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5">
      <w:start w:val="1"/>
      <w:numFmt w:val="bullet"/>
      <w:lvlText w:val="▪"/>
      <w:lvlJc w:val="left"/>
      <w:pPr>
        <w:ind w:left="406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6">
      <w:start w:val="1"/>
      <w:numFmt w:val="bullet"/>
      <w:lvlText w:val="•"/>
      <w:lvlJc w:val="left"/>
      <w:pPr>
        <w:ind w:left="478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7">
      <w:start w:val="1"/>
      <w:numFmt w:val="bullet"/>
      <w:lvlText w:val="o"/>
      <w:lvlJc w:val="left"/>
      <w:pPr>
        <w:ind w:left="55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8">
      <w:start w:val="1"/>
      <w:numFmt w:val="bullet"/>
      <w:lvlText w:val="▪"/>
      <w:lvlJc w:val="left"/>
      <w:pPr>
        <w:ind w:left="622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o-R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o-RO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63f8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163f86"/>
    <w:pPr>
      <w:keepNext w:val="true"/>
      <w:spacing w:before="240" w:after="60"/>
      <w:outlineLvl w:val="0"/>
    </w:pPr>
    <w:rPr>
      <w:rFonts w:ascii="Times New Roman Bold" w:hAnsi="Times New Roman Bold"/>
      <w:b/>
      <w:bCs/>
      <w:caps/>
      <w:kern w:val="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63f86"/>
    <w:pPr>
      <w:keepNext w:val="true"/>
      <w:spacing w:before="240" w:after="60"/>
      <w:outlineLvl w:val="1"/>
    </w:pPr>
    <w:rPr>
      <w:rFonts w:ascii="Times New Roman Bold" w:hAnsi="Times New Roman Bold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qFormat/>
    <w:rsid w:val="00163f86"/>
    <w:rPr>
      <w:rFonts w:ascii="Times New Roman Bold" w:hAnsi="Times New Roman Bold" w:eastAsia="Times New Roman" w:cs="Times New Roman"/>
      <w:b/>
      <w:bCs/>
      <w:caps/>
      <w:kern w:val="2"/>
      <w:sz w:val="28"/>
      <w:szCs w:val="28"/>
      <w:lang w:val="en-US"/>
    </w:rPr>
  </w:style>
  <w:style w:type="character" w:styleId="Heading2Char" w:customStyle="1">
    <w:name w:val="Heading 2 Char"/>
    <w:basedOn w:val="DefaultParagraphFont"/>
    <w:link w:val="Heading2"/>
    <w:qFormat/>
    <w:rsid w:val="00163f86"/>
    <w:rPr>
      <w:rFonts w:ascii="Times New Roman Bold" w:hAnsi="Times New Roman Bold" w:eastAsia="Times New Roman" w:cs="Times New Roman"/>
      <w:b/>
      <w:bCs/>
      <w:sz w:val="24"/>
      <w:szCs w:val="24"/>
      <w:lang w:val="en-US"/>
    </w:rPr>
  </w:style>
  <w:style w:type="character" w:styleId="IntenseEmphasis">
    <w:name w:val="Intense Emphasis"/>
    <w:basedOn w:val="DefaultParagraphFont"/>
    <w:qFormat/>
    <w:rsid w:val="00163f86"/>
    <w:rPr>
      <w:rFonts w:cs="Times New Roman"/>
      <w:b/>
      <w:bCs/>
      <w:i/>
      <w:iCs/>
      <w:color w:val="4F81BD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731e78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731e78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311b20"/>
    <w:rPr>
      <w:rFonts w:ascii="Tahoma" w:hAnsi="Tahoma" w:eastAsia="Times New Roman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_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_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_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_Arial"/>
    </w:rPr>
  </w:style>
  <w:style w:type="paragraph" w:styleId="Default" w:customStyle="1">
    <w:name w:val="Default"/>
    <w:qFormat/>
    <w:rsid w:val="00163f8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731e7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731e7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11b20"/>
    <w:pPr/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b36cf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d74523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E8D7E-ED00-4931-99B0-AD9AAA53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LibreOffice/6.3.2.2$Windows_X86_64 LibreOffice_project/98b30e735bda24bc04ab42594c85f7fd8be07b9c</Application>
  <Pages>6</Pages>
  <Words>1099</Words>
  <Characters>6414</Characters>
  <CharactersWithSpaces>7391</CharactersWithSpaces>
  <Paragraphs>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2023-04-20T12:46:00Z</dcterms:created>
  <dc:creator>adriana</dc:creator>
  <dc:description/>
  <dc:language>ro-RO</dc:language>
  <cp:lastModifiedBy/>
  <cp:lastPrinted>2023-04-20T10:39:00Z</cp:lastPrinted>
  <dcterms:modified xsi:type="dcterms:W3CDTF">2023-07-13T09:47:42Z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